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7F8116E0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6E1DDDA0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26B0376E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223/2026</w:t>
      </w:r>
    </w:p>
    <w:p w14:paraId="33AF21F6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3AD5E55F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44/2026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44/2026</w:t>
      </w:r>
    </w:p>
    <w:p w14:paraId="18B62C23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02B41A41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Gilson Donizete Pelizaro e Assessores Kadu Vianna Domene e Cirineu Antônio Carlos.</w:t>
      </w:r>
    </w:p>
    <w:p w14:paraId="66D9CEF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Ribeirão Preto/SP </w:t>
      </w:r>
    </w:p>
    <w:p w14:paraId="63DB0D0F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10 de junho de 2026</w:t>
      </w:r>
    </w:p>
    <w:p w14:paraId="1EC9AD37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08:30h.</w:t>
      </w:r>
    </w:p>
    <w:p w14:paraId="41CA417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10 de junho de 2026 </w:t>
      </w:r>
    </w:p>
    <w:p w14:paraId="0A770FAA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16:00h.</w:t>
      </w:r>
    </w:p>
    <w:p w14:paraId="11C092B4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02018F33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142E520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Comparecimento ao Hospital das Clínicas de Ribeirão Preto/SP, por ocasião da cerimônia de entrega de ambulâncias e demais veículos destinados à área da saúde da macrorregião, com a presença do Ministro da Saúde, Alexandre Padilha, incluindo veículos destin</w:t>
      </w:r>
      <w:r>
        <w:rPr>
          <w:rFonts w:ascii="Arial" w:eastAsia="Arial" w:hAnsi="Arial" w:cs="Arial"/>
          <w:sz w:val="22"/>
          <w:szCs w:val="22"/>
        </w:rPr>
        <w:t>ados ao Município de Franca.</w:t>
      </w:r>
    </w:p>
    <w:p w14:paraId="22EFCE69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00496B6D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42CAF8C0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5A867A30">
      <w:pPr>
        <w:jc w:val="center"/>
        <w:rPr>
          <w:b/>
          <w:sz w:val="24"/>
        </w:rPr>
      </w:pPr>
    </w:p>
    <w:p w14:paraId="703E3D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40E9CED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Não.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>o Ato da Presidência nº 1, de 16/01/02013: “As solicitações de viagem deverão ser feitas com antecedência mínima de 03 (três) dias, possibilitando ao Departamento Financeiro a liberação dos numerários.” (art. 1º, §1º), requisito</w:t>
      </w:r>
      <w:r>
        <w:rPr>
          <w:rFonts w:ascii="Arial" w:eastAsia="Arial" w:hAnsi="Arial" w:cs="Arial"/>
          <w:sz w:val="22"/>
          <w:szCs w:val="22"/>
        </w:rPr>
        <w:t xml:space="preserve"> não observado no presente caso.</w:t>
      </w:r>
    </w:p>
    <w:p w14:paraId="2526A22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4F218AA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Verifica-se, salvo melhor juízo, pertinência temática entre os assuntos a serem tratados na viagem e a atividade parlamentar, considerando que a agenda está relacionada a políticas públicas de saúde e à entrega de veículos destinados ao atendimento da popu</w:t>
      </w:r>
      <w:r>
        <w:rPr>
          <w:rFonts w:ascii="Arial" w:eastAsia="Arial" w:hAnsi="Arial" w:cs="Arial"/>
          <w:color w:val="000000"/>
          <w:sz w:val="22"/>
          <w:szCs w:val="22"/>
        </w:rPr>
        <w:t>lação da macrorregião, inclusive do Município de Franca.</w:t>
      </w:r>
    </w:p>
    <w:p w14:paraId="7B7C6CC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Conforme consta dos autos, o vereador participará de cerimônia oficial realizada no Hospital das Clínicas de Ribeirão Preto, com a presença do Ministro da Saúde, Alexandre Padilha, ocasião em que serão entregues ambulâncias e outros veículos destinados ao </w:t>
      </w:r>
      <w:r>
        <w:rPr>
          <w:rFonts w:ascii="Arial" w:eastAsia="Arial" w:hAnsi="Arial" w:cs="Arial"/>
          <w:color w:val="000000"/>
          <w:sz w:val="22"/>
          <w:szCs w:val="22"/>
        </w:rPr>
        <w:t>fortalecimento da estrutura de atendimento em saúde pública.</w:t>
      </w:r>
    </w:p>
    <w:p w14:paraId="14E9854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participação em agenda institucional dessa natureza guarda relação com o acompanhamento de ações governamentais que possam produzir reflexos diretos para a população francana, especialmente na área da saúde pública, matéria de relevante interesse coletiv</w:t>
      </w:r>
      <w:r>
        <w:rPr>
          <w:rFonts w:ascii="Arial" w:eastAsia="Arial" w:hAnsi="Arial" w:cs="Arial"/>
          <w:color w:val="000000"/>
          <w:sz w:val="22"/>
          <w:szCs w:val="22"/>
        </w:rPr>
        <w:t>o.</w:t>
      </w:r>
    </w:p>
    <w:p w14:paraId="2F33D48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Vislumbra-se, portanto, pertinência temática com a atividade parlamentar, considerando, ainda, que a análise do Controle Interno é objetiva, não tendo intenção nem competência para cercear o direito subjetivo do vereador em sua atividade parlamentar.</w:t>
      </w:r>
    </w:p>
    <w:p w14:paraId="56BFE29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34C51FC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 objeto da viagem, considerando o deslocamento até o Município de Ribeirão Preto/SP, a participação na agenda institucional prevista e o retorno no mesmo dia.</w:t>
      </w:r>
    </w:p>
    <w:p w14:paraId="122560E0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11B480D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 análise preliminar, verifica-se que a viagem apresenta finalidade institucional vinculada ao acompanhamento de políticas públicas de saúde e à representação institucional do Município de Franca em evento oficial promovido pelo Ministério da Saúde.</w:t>
      </w:r>
    </w:p>
    <w:p w14:paraId="51938C2A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Contudo, recomenda-se que sejam posteriormente apresentados documentos comprobatórios da participação na agenda, tais como declarações de comparecimento, registros institucionais, fotografias, materiais do evento e relatório circunstanciado da viagem, demo</w:t>
      </w:r>
      <w:r>
        <w:rPr>
          <w:rFonts w:ascii="Arial" w:eastAsia="Arial" w:hAnsi="Arial" w:cs="Arial"/>
          <w:color w:val="000000"/>
          <w:sz w:val="22"/>
          <w:szCs w:val="22"/>
        </w:rPr>
        <w:t>nstrando de forma objetiva os resultados obtidos e os benefícios institucionais decorrentes da participação, em observância aos princípios da legitimidade, transparência e prestação de contas.</w:t>
      </w:r>
    </w:p>
    <w:p w14:paraId="3BC4B0A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</w:p>
    <w:p w14:paraId="41F0166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554C642A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6BE692DE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823C336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0C9138ED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7570B07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6DFCE52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44/20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797DE5C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b/>
          <w:bCs/>
          <w:sz w:val="22"/>
          <w:szCs w:val="22"/>
        </w:rPr>
        <w:t>administrativa, competindo tal análise à autoridade competente, no exercício de sua discricionariedade administrativa.</w:t>
      </w:r>
    </w:p>
    <w:p w14:paraId="696F76F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4F2BB7B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1FD9E97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794B0C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9 de junho de 2026</w:t>
      </w:r>
    </w:p>
    <w:p w14:paraId="1811268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5A0DCAA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26315AC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1D62DBC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6A1804A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7925B01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0B7884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06FDE39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707DB98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139D7FD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0447C35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B010D1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5BD0A0C9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4C247E59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131CDE09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</w:p>
    <w:p w14:paraId="0F1ECEA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41712FB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20</cp:revision>
  <dcterms:created xsi:type="dcterms:W3CDTF">2024-01-11T16:13:00Z</dcterms:created>
  <dcterms:modified xsi:type="dcterms:W3CDTF">2026-06-09T12:19:48Z</dcterms:modified>
</cp:coreProperties>
</file>