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tLeast"/>
        <w:ind w:left="567" w:right="787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Senhor Presidente da Câmara Municipal de Franca.</w:t>
      </w:r>
    </w:p>
    <w:p>
      <w:pPr>
        <w:spacing w:line="380" w:lineRule="atLeast"/>
        <w:ind w:left="567" w:right="787"/>
        <w:jc w:val="center"/>
        <w:rPr>
          <w:rFonts w:ascii="Courier New" w:hAnsi="Courier New" w:cs="Courier New"/>
        </w:rPr>
      </w:pPr>
    </w:p>
    <w:p>
      <w:pPr>
        <w:spacing w:line="380" w:lineRule="atLeast"/>
        <w:ind w:left="567" w:right="787"/>
        <w:jc w:val="center"/>
        <w:rPr>
          <w:rFonts w:ascii="Courier New" w:hAnsi="Courier New" w:cs="Courier New"/>
          <w:lang w:eastAsia="zh-CN"/>
        </w:rPr>
      </w:pPr>
    </w:p>
    <w:p>
      <w:pPr>
        <w:pStyle w:val="Heading2"/>
        <w:pBdr>
          <w:top w:val="single" w:sz="4" w:space="0" w:color="000000"/>
        </w:pBdr>
        <w:tabs>
          <w:tab w:val="left" w:pos="9639"/>
          <w:tab w:val="left" w:pos="12049"/>
        </w:tabs>
        <w:spacing w:line="380" w:lineRule="atLeast"/>
        <w:ind w:left="1985" w:right="1701" w:firstLine="0"/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</w:pPr>
      <w:r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  <w:t>Despacho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Sala das Sessões em,_______/_______/______.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PRESIDENTE</w:t>
      </w:r>
    </w:p>
    <w:p>
      <w:pPr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>
      <w:pPr>
        <w:rPr>
          <w:b w:val="0"/>
          <w:bCs w:val="0"/>
        </w:rPr>
      </w:pPr>
    </w:p>
    <w:p>
      <w:pPr>
        <w:spacing w:line="360" w:lineRule="auto"/>
        <w:ind w:left="720" w:firstLine="0"/>
        <w:jc w:val="both"/>
      </w:pPr>
      <w:r>
        <w:rPr>
          <w:rFonts w:ascii="Courier New" w:hAnsi="Courier New" w:cs="Courier New"/>
          <w:highlight w:val="none"/>
        </w:rPr>
        <w:t>Requeiro, nos termos regimentais, após ouvido o Plenário, que seja oficiado ao Senhor Prefeito Municipal para que informe a esta Casa de Leis, por meio da secretaria competente, acerca da concessão do Sistema de Estacionamento Rotativo Remunerado – Área Azu</w:t>
      </w:r>
      <w:r>
        <w:rPr>
          <w:rFonts w:ascii="Courier New" w:hAnsi="Courier New" w:cs="Courier New"/>
          <w:highlight w:val="none"/>
        </w:rPr>
        <w:t>l, autorizada por legislação municipal aprovada pela Câmara Municipal em fevereiro de 2026.</w:t>
      </w:r>
    </w:p>
    <w:p>
      <w:pPr>
        <w:spacing w:line="360" w:lineRule="auto"/>
        <w:ind w:left="720" w:firstLine="0"/>
        <w:jc w:val="both"/>
      </w:pPr>
    </w:p>
    <w:p>
      <w:pPr>
        <w:spacing w:line="360" w:lineRule="auto"/>
        <w:ind w:left="720" w:firstLine="0"/>
        <w:jc w:val="both"/>
      </w:pPr>
      <w:r>
        <w:rPr>
          <w:rFonts w:ascii="Courier New" w:hAnsi="Courier New" w:cs="Courier New"/>
          <w:highlight w:val="none"/>
        </w:rPr>
        <w:t>Solicita-se as seguintes informações:</w:t>
      </w:r>
    </w:p>
    <w:p>
      <w:pPr>
        <w:spacing w:line="360" w:lineRule="auto"/>
        <w:ind w:left="720" w:firstLine="0"/>
        <w:jc w:val="both"/>
      </w:pPr>
    </w:p>
    <w:p>
      <w:pPr>
        <w:spacing w:line="360" w:lineRule="auto"/>
        <w:ind w:left="720" w:firstLine="0"/>
        <w:jc w:val="both"/>
      </w:pPr>
      <w:r>
        <w:rPr>
          <w:rFonts w:ascii="Courier New" w:hAnsi="Courier New" w:cs="Courier New"/>
          <w:highlight w:val="none"/>
        </w:rPr>
        <w:t>1. Se já foi iniciado o processo licitatório para a concessão da operação da Área Azul no Município de Franca;</w:t>
      </w:r>
    </w:p>
    <w:p>
      <w:pPr>
        <w:spacing w:line="360" w:lineRule="auto"/>
        <w:ind w:left="720" w:firstLine="0"/>
        <w:jc w:val="both"/>
      </w:pPr>
    </w:p>
    <w:p>
      <w:pPr>
        <w:spacing w:line="360" w:lineRule="auto"/>
        <w:ind w:left="720" w:firstLine="0"/>
        <w:jc w:val="both"/>
      </w:pPr>
      <w:r>
        <w:rPr>
          <w:rFonts w:ascii="Courier New" w:hAnsi="Courier New" w:cs="Courier New"/>
          <w:highlight w:val="none"/>
        </w:rPr>
        <w:t>2. Em caso positivo, informar o número do processo administrativo e do processo licitatório, a modalidade adotada, a fase atual do certame e encaminhar cópia do edital e seus anexos, caso já tenham sido publicados;</w:t>
      </w:r>
    </w:p>
    <w:p>
      <w:pPr>
        <w:spacing w:line="360" w:lineRule="auto"/>
        <w:ind w:left="720" w:firstLine="0"/>
        <w:jc w:val="both"/>
      </w:pPr>
    </w:p>
    <w:p>
      <w:pPr>
        <w:spacing w:line="360" w:lineRule="auto"/>
        <w:ind w:left="720" w:firstLine="0"/>
        <w:jc w:val="both"/>
      </w:pPr>
      <w:r>
        <w:rPr>
          <w:rFonts w:ascii="Courier New" w:hAnsi="Courier New" w:cs="Courier New"/>
          <w:highlight w:val="none"/>
        </w:rPr>
        <w:t>3. Informar se já houve definição da empresa vencedora ou previsão para conclusão da licitação e início da operação pela futura concessionária;</w:t>
      </w:r>
    </w:p>
    <w:p>
      <w:pPr>
        <w:spacing w:line="360" w:lineRule="auto"/>
        <w:ind w:left="720" w:firstLine="0"/>
        <w:jc w:val="both"/>
      </w:pPr>
    </w:p>
    <w:p>
      <w:pPr>
        <w:spacing w:line="360" w:lineRule="auto"/>
        <w:ind w:left="720" w:firstLine="0"/>
        <w:jc w:val="both"/>
      </w:pPr>
      <w:r>
        <w:rPr>
          <w:rFonts w:ascii="Courier New" w:hAnsi="Courier New" w:cs="Courier New"/>
          <w:highlight w:val="none"/>
        </w:rPr>
        <w:t>4. Informar qual o cronograma previsto para a transição da operação atualmente realizada pela ESAC para a empresa que vier a ser contratada;</w:t>
      </w:r>
    </w:p>
    <w:p>
      <w:pPr>
        <w:spacing w:line="360" w:lineRule="auto"/>
        <w:ind w:left="720" w:firstLine="0"/>
        <w:jc w:val="both"/>
      </w:pPr>
    </w:p>
    <w:p>
      <w:pPr>
        <w:spacing w:line="360" w:lineRule="auto"/>
        <w:ind w:left="720" w:firstLine="0"/>
        <w:jc w:val="both"/>
      </w:pPr>
      <w:r>
        <w:rPr>
          <w:rFonts w:ascii="Courier New" w:hAnsi="Courier New" w:cs="Courier New"/>
          <w:highlight w:val="none"/>
        </w:rPr>
        <w:t>5. Caso o processo licitatório ainda não tenha sido iniciado ou concluído, informar detalhadamente os motivos que impediram sua realização, indicando eventuais impedimentos técnicos, jurídicos, administrativos, financeiros ou orçamentários;</w:t>
      </w:r>
    </w:p>
    <w:p>
      <w:pPr>
        <w:spacing w:line="360" w:lineRule="auto"/>
        <w:ind w:left="720" w:firstLine="0"/>
        <w:jc w:val="both"/>
      </w:pPr>
    </w:p>
    <w:p>
      <w:pPr>
        <w:spacing w:line="360" w:lineRule="auto"/>
        <w:ind w:left="720" w:firstLine="0"/>
        <w:jc w:val="both"/>
      </w:pPr>
      <w:r>
        <w:rPr>
          <w:rFonts w:ascii="Courier New" w:hAnsi="Courier New" w:cs="Courier New"/>
          <w:highlight w:val="none"/>
        </w:rPr>
        <w:t>6. Informar quais providências estão sendo adotadas pela Administração Municipal para viabilizar a realização da licitação e qual a previsão para publicação do edital e conclusão do processo.</w:t>
      </w:r>
    </w:p>
    <w:p>
      <w:pPr>
        <w:spacing w:line="360" w:lineRule="auto"/>
        <w:ind w:left="720" w:firstLine="0"/>
        <w:jc w:val="both"/>
      </w:pPr>
    </w:p>
    <w:p>
      <w:pPr>
        <w:spacing w:line="360" w:lineRule="auto"/>
        <w:ind w:left="720" w:firstLine="0"/>
        <w:jc w:val="center"/>
      </w:pPr>
      <w:r>
        <w:rPr>
          <w:rFonts w:ascii="Courier New" w:hAnsi="Courier New" w:cs="Courier New"/>
          <w:highlight w:val="none"/>
        </w:rPr>
        <w:t>JUSTIFICATIVA</w:t>
      </w:r>
    </w:p>
    <w:p>
      <w:pPr>
        <w:spacing w:line="360" w:lineRule="auto"/>
        <w:ind w:left="720" w:firstLine="0"/>
        <w:jc w:val="both"/>
      </w:pPr>
    </w:p>
    <w:p>
      <w:pPr>
        <w:spacing w:line="360" w:lineRule="auto"/>
        <w:ind w:left="720" w:firstLine="0"/>
        <w:jc w:val="both"/>
      </w:pPr>
      <w:r>
        <w:rPr>
          <w:rFonts w:ascii="Courier New" w:hAnsi="Courier New" w:cs="Courier New"/>
          <w:highlight w:val="none"/>
        </w:rPr>
        <w:t>Em fevereiro de 2026, esta Casa de Leis aprovou projeto de lei de autoria do Poder Executivo autorizando a concessão do Sistema de Estacionamento Rotativo Remunerado – Área Azul, mediante processo licitatório, visando a futura transferência da operação do s</w:t>
      </w:r>
      <w:r>
        <w:rPr>
          <w:rFonts w:ascii="Courier New" w:hAnsi="Courier New" w:cs="Courier New"/>
          <w:highlight w:val="none"/>
        </w:rPr>
        <w:t>erviço para empresa especializada.</w:t>
      </w:r>
    </w:p>
    <w:p>
      <w:pPr>
        <w:spacing w:line="360" w:lineRule="auto"/>
        <w:ind w:left="720" w:firstLine="0"/>
        <w:jc w:val="both"/>
      </w:pPr>
    </w:p>
    <w:p>
      <w:pPr>
        <w:spacing w:line="360" w:lineRule="auto"/>
        <w:ind w:left="720" w:firstLine="0"/>
        <w:jc w:val="both"/>
      </w:pPr>
      <w:r>
        <w:rPr>
          <w:rFonts w:ascii="Courier New" w:hAnsi="Courier New" w:cs="Courier New"/>
          <w:highlight w:val="none"/>
        </w:rPr>
        <w:t>Considerando a relevância do tema para comerciantes, trabalhadores, usuários do sistema e para a própria entidade que atualmente executa o serviço, faz-se necessário que o Poder Legislativo acompanhe o andamento das medidas administrativas decorrentes da au</w:t>
      </w:r>
      <w:r>
        <w:rPr>
          <w:rFonts w:ascii="Courier New" w:hAnsi="Courier New" w:cs="Courier New"/>
          <w:highlight w:val="none"/>
        </w:rPr>
        <w:t>torização concedida pela Câmara Municipal.</w:t>
      </w:r>
    </w:p>
    <w:p>
      <w:pPr>
        <w:spacing w:line="360" w:lineRule="auto"/>
        <w:ind w:left="720" w:firstLine="0"/>
        <w:jc w:val="both"/>
      </w:pPr>
    </w:p>
    <w:p>
      <w:pPr>
        <w:spacing w:line="360" w:lineRule="auto"/>
        <w:ind w:left="720" w:firstLine="0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highlight w:val="none"/>
        </w:rPr>
        <w:t>O presente requerimento tem como objetivo garantir a transparência dos atos da Administração Pública, possibilitando o acompanhamento do processo de concessão, bem como o esclarecimento de eventuais motivos que tenham ocasionado atraso na realização da lici</w:t>
      </w:r>
      <w:r>
        <w:rPr>
          <w:rFonts w:ascii="Courier New" w:hAnsi="Courier New" w:cs="Courier New"/>
          <w:highlight w:val="none"/>
        </w:rPr>
        <w:t>tação ou na implantação do novo modelo de gestão do estacionamento rotativo no município.</w:t>
      </w:r>
    </w:p>
    <w:p>
      <w:pPr>
        <w:spacing w:line="360" w:lineRule="auto"/>
        <w:ind w:left="720" w:firstLine="0"/>
        <w:jc w:val="both"/>
        <w:rPr>
          <w:highlight w:val="none"/>
        </w:rPr>
      </w:pPr>
    </w:p>
    <w:p>
      <w:pPr>
        <w:spacing w:line="360" w:lineRule="auto"/>
        <w:ind w:firstLine="141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Câmara Municipal, em 12 de junho de 2026.</w:t>
      </w:r>
    </w:p>
    <w:p>
      <w:pPr>
        <w:jc w:val="center"/>
        <w:rPr>
          <w:rFonts w:ascii="Courier New" w:hAnsi="Courier New" w:cs="Courier New"/>
          <w:b/>
          <w:bCs/>
        </w:rPr>
      </w:pPr>
    </w:p>
    <w:p>
      <w:pPr>
        <w:jc w:val="center"/>
        <w:rPr>
          <w:rFonts w:ascii="Courier New" w:hAnsi="Courier New" w:cs="Courier New"/>
          <w:b/>
          <w:bCs/>
        </w:rPr>
      </w:pPr>
    </w:p>
    <w:p>
      <w:pPr>
        <w:jc w:val="center"/>
        <w:rPr>
          <w:rFonts w:ascii="Courier New" w:hAnsi="Courier New" w:cs="Courier New"/>
          <w:b/>
          <w:bCs/>
        </w:rPr>
      </w:pPr>
    </w:p>
    <w:p>
      <w:pPr>
        <w:ind w:left="360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__________________________</w:t>
      </w:r>
    </w:p>
    <w:p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Marcelo Tidy </w:t>
      </w:r>
    </w:p>
    <w:p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Vereador</w:t>
      </w:r>
    </w:p>
    <w:p>
      <w:pPr>
        <w:jc w:val="center"/>
        <w:rPr>
          <w:rFonts w:ascii="Courier New" w:hAnsi="Courier New" w:cs="Courier New"/>
          <w:b/>
          <w:bCs/>
        </w:rPr>
      </w:pPr>
    </w:p>
    <w:p>
      <w:pPr>
        <w:jc w:val="center"/>
        <w:rPr>
          <w:rFonts w:ascii="Courier New" w:hAnsi="Courier New" w:cs="Courier New"/>
          <w:b/>
          <w:bCs/>
        </w:rPr>
      </w:pPr>
      <w:r>
        <w:rPr>
          <w:sz w:val="20"/>
        </w:rPr>
        <w:drawing>
          <wp:inline distT="0" distB="0" distL="0" distR="0">
            <wp:extent cx="685841" cy="371475"/>
            <wp:effectExtent l="0" t="0" r="0" b="0"/>
            <wp:docPr id="3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536623" name="Image 19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4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default" r:id="rId6"/>
      <w:type w:val="nextPage"/>
      <w:pgSz w:w="11906" w:h="16838" w:orient="portrait"/>
      <w:pgMar w:top="1418" w:right="851" w:bottom="1418" w:left="198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6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</w:t>
          </w:r>
          <w:r>
            <w:t xml:space="preserve"> </w:t>
          </w:r>
          <w:r>
            <w:t>CEP: 14</w:t>
          </w:r>
          <w:r>
            <w:t>401-306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</w:t>
          </w:r>
          <w:r>
            <w:rPr>
              <w:b/>
            </w:rPr>
            <w:t>franca.sp.leg</w:t>
          </w:r>
          <w:r>
            <w:rPr>
              <w:b/>
            </w:rPr>
            <w:t>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2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89"/>
      <w:gridCol w:w="5854"/>
      <w:gridCol w:w="1943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4589564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</w:t>
          </w:r>
          <w:r>
            <w:t>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6757674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842ADD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0DE7F"/>
    <w:multiLevelType w:val="hybridMultilevel"/>
    <w:tmpl w:val="00000000"/>
    <w:lvl w:ilvl="0">
      <w:start w:val="1"/>
      <w:numFmt w:val="bullet"/>
      <w:lvlText w:val="·"/>
      <w:lvlJc w:val="left"/>
      <w:pPr>
        <w:ind w:left="2127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284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356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428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500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72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644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716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887" w:hanging="360"/>
      </w:pPr>
      <w:rPr>
        <w:rFonts w:ascii="Wingdings" w:eastAsia="Wingdings" w:hAnsi="Wingdings" w:cs="Wingdings" w:hint="default"/>
      </w:rPr>
    </w:lvl>
  </w:abstractNum>
  <w:abstractNum w:abstractNumId="2">
    <w:nsid w:val="21EB50F7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226AD0F8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59946E7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2ED82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6D2B0C"/>
    <w:multiLevelType w:val="hybridMultilevel"/>
    <w:tmpl w:val="00000000"/>
    <w:lvl w:ilvl="0">
      <w:start w:val="1"/>
      <w:numFmt w:val="decimal"/>
      <w:lvlText w:val="%1."/>
      <w:lvlJc w:val="left"/>
      <w:pPr>
        <w:ind w:left="2865" w:hanging="1305"/>
      </w:pPr>
      <w:rPr>
        <w:rFonts w:ascii="Courier New" w:hAnsi="Courier New" w:cs="Courier New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3188F77C"/>
    <w:multiLevelType w:val="hybridMulti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A14FCE2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386C2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49569CC6"/>
    <w:multiLevelType w:val="hybridMultilevel"/>
    <w:tmpl w:val="00000000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4ECFAD44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A2EBE3"/>
    <w:multiLevelType w:val="hybridMultilevel"/>
    <w:tmpl w:val="00000000"/>
    <w:lvl w:ilvl="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3">
    <w:nsid w:val="64EE4BB5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abstractNum w:abstractNumId="14">
    <w:nsid w:val="7E266629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11"/>
  </w:num>
  <w:num w:numId="10">
    <w:abstractNumId w:val="14"/>
  </w:num>
  <w:num w:numId="11">
    <w:abstractNumId w:val="7"/>
  </w:num>
  <w:num w:numId="12">
    <w:abstractNumId w:val="10"/>
  </w:num>
  <w:num w:numId="13">
    <w:abstractNumId w:val="1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ing2">
    <w:name w:val="Heading 2"/>
    <w:basedOn w:val="Normal"/>
    <w:next w:val="Normal"/>
    <w:link w:val="Ttulo2Char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360" w:lineRule="auto"/>
      <w:ind w:left="993" w:right="567" w:hanging="142"/>
      <w:jc w:val="center"/>
      <w:outlineLvl w:val="1"/>
    </w:pPr>
    <w:rPr>
      <w:b/>
      <w:spacing w:val="20"/>
      <w:sz w:val="28"/>
      <w:szCs w:val="20"/>
    </w:rPr>
  </w:style>
  <w:style w:type="paragraph" w:customStyle="1" w:styleId="Heading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tulo2Char">
    <w:name w:val="Título 2 Char"/>
    <w:basedOn w:val="DefaultParagraphFont"/>
    <w:link w:val="Heading2"/>
    <w:rPr>
      <w:rFonts w:ascii="Times New Roman" w:eastAsia="Times New Roman" w:hAnsi="Times New Roman" w:cs="Times New Roman"/>
      <w:b/>
      <w:spacing w:val="20"/>
      <w:sz w:val="28"/>
      <w:szCs w:val="20"/>
      <w:lang w:eastAsia="pt-BR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eastAsiaTheme="minorEastAsia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Ttulo3Char">
    <w:name w:val="Título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225</cp:revision>
  <dcterms:created xsi:type="dcterms:W3CDTF">2022-02-11T13:41:00Z</dcterms:created>
  <dcterms:modified xsi:type="dcterms:W3CDTF">2026-06-15T01:08:39Z</dcterms:modified>
</cp:coreProperties>
</file>